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3" w:rsidRPr="00F43066" w:rsidRDefault="001A5A13" w:rsidP="00F4306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3066">
        <w:rPr>
          <w:rFonts w:ascii="Times New Roman" w:hAnsi="Times New Roman" w:cs="Times New Roman"/>
          <w:b/>
          <w:noProof/>
          <w:sz w:val="24"/>
          <w:szCs w:val="24"/>
        </w:rPr>
        <w:t xml:space="preserve">Дата возникновения существенного факта в деятельности Акционерного Коммерческого банка «Туронбанк»- </w:t>
      </w:r>
      <w:r w:rsidR="00A53A93" w:rsidRPr="00F43066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Pr="00F430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D170A" w:rsidRPr="00F43066">
        <w:rPr>
          <w:rFonts w:ascii="Times New Roman" w:hAnsi="Times New Roman" w:cs="Times New Roman"/>
          <w:b/>
          <w:noProof/>
          <w:sz w:val="24"/>
          <w:szCs w:val="24"/>
        </w:rPr>
        <w:t>октября</w:t>
      </w:r>
      <w:r w:rsidR="00F43066">
        <w:rPr>
          <w:rFonts w:ascii="Times New Roman" w:hAnsi="Times New Roman" w:cs="Times New Roman"/>
          <w:b/>
          <w:noProof/>
          <w:sz w:val="24"/>
          <w:szCs w:val="24"/>
        </w:rPr>
        <w:t xml:space="preserve"> 2017 года</w:t>
      </w:r>
    </w:p>
    <w:p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371"/>
        <w:gridCol w:w="1212"/>
        <w:gridCol w:w="555"/>
        <w:gridCol w:w="557"/>
        <w:gridCol w:w="621"/>
        <w:gridCol w:w="711"/>
        <w:gridCol w:w="216"/>
        <w:gridCol w:w="582"/>
        <w:gridCol w:w="339"/>
        <w:gridCol w:w="103"/>
        <w:gridCol w:w="894"/>
        <w:gridCol w:w="134"/>
        <w:gridCol w:w="672"/>
        <w:gridCol w:w="493"/>
        <w:gridCol w:w="843"/>
        <w:gridCol w:w="1066"/>
      </w:tblGrid>
      <w:tr w:rsidR="00D72F22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Tr="00824CB4">
        <w:trPr>
          <w:trHeight w:val="476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824CB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  <w:bookmarkStart w:id="0" w:name="_GoBack"/>
            <w:bookmarkEnd w:id="0"/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C866E8" w:rsidTr="00E01758">
        <w:trPr>
          <w:trHeight w:val="434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F43066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Pr="00F43066" w:rsidRDefault="004B385E" w:rsidP="00050325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4B385E" w:rsidP="009C2B78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18 </w:t>
            </w:r>
            <w:r w:rsidR="009C2B78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октября</w:t>
            </w:r>
            <w:r w:rsidR="00050325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2017 года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9C2B78" w:rsidP="004B385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18 октября 2017 года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2B1FD9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1A092F" w:rsidP="002B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90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,76%</w:t>
            </w:r>
            <w:r w:rsidR="002B1FD9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2B1FD9" w:rsidTr="00824CB4">
        <w:trPr>
          <w:trHeight w:val="534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1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10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B1FD9" w:rsidTr="00824CB4">
        <w:trPr>
          <w:trHeight w:val="530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2B1FD9" w:rsidTr="00824CB4">
        <w:trPr>
          <w:trHeight w:val="256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2B1FD9" w:rsidRPr="00EA0189" w:rsidTr="001420B5">
        <w:trPr>
          <w:trHeight w:val="97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100AE9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и утверждение счетной комиссии банка для годового отчётног</w:t>
            </w:r>
            <w:r w:rsidR="00100AE9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 общего собрания акционеров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1A092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79 161 608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2B1FD9" w:rsidRPr="00EA0189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686E96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регламента для проведения годового отчётно</w:t>
            </w:r>
            <w:r w:rsidR="00100AE9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го общего собрания акционеров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1A092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79 161 608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66795" w:rsidRPr="00666795" w:rsidTr="00824CB4">
        <w:trPr>
          <w:trHeight w:val="492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5" w:rsidRDefault="0066679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5" w:rsidRPr="00F43066" w:rsidRDefault="0066679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5" w:rsidRPr="00F43066" w:rsidRDefault="00181A37" w:rsidP="00824C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Переизбрание членов совета акционерного коммерческого банка «Туронбанк»</w:t>
            </w:r>
            <w:r w:rsidR="00E01758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2B1FD9" w:rsidRPr="00EA0189" w:rsidTr="00824CB4">
        <w:trPr>
          <w:trHeight w:val="268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666795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5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100AE9" w:rsidP="00100AE9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 структуры акционерного коммерческого банка «Туронбанк»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1A092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79 161 608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A092F" w:rsidRPr="00EA0189" w:rsidTr="00824CB4">
        <w:trPr>
          <w:trHeight w:val="628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666795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5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00AE9" w:rsidP="00100AE9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 заключение крупной сделки с экспортно-импортным банком Китая.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092F" w:rsidRPr="00F43066" w:rsidRDefault="001A092F" w:rsidP="00DF7B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79 161 608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A092F" w:rsidRPr="00EA0189" w:rsidTr="00824CB4">
        <w:trPr>
          <w:trHeight w:val="542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666795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5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00AE9" w:rsidP="00100AE9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 заключение крупной сделки с АК «Узбекгидроэнерго»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79 161 608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A092F" w:rsidRPr="00EA0189" w:rsidTr="00824CB4">
        <w:trPr>
          <w:trHeight w:val="209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666795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5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00AE9" w:rsidP="00100AE9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 переводе денежных средств банка, находящиеся на специальном счету Фонда льготного кредитования на соответствующий счет банка, в целях исполнения Постановления Президента Республики Узбекистан №ПП-3270 от 12.09.2017 года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092F" w:rsidRPr="00F43066" w:rsidRDefault="001A092F" w:rsidP="00DF7B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79 161 608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824CB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F71B2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для годового отчётного общего собрания акционеров.     </w:t>
            </w: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F7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годового отчётного общего собрания акционеров.        </w:t>
            </w:r>
          </w:p>
        </w:tc>
      </w:tr>
      <w:tr w:rsidR="001A092F" w:rsidRPr="001A092F" w:rsidTr="00824CB4">
        <w:trPr>
          <w:trHeight w:val="7021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DE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До следующего годового общего собрания акционеров </w:t>
            </w:r>
            <w:r w:rsidRPr="00F43066">
              <w:rPr>
                <w:rFonts w:ascii="Times New Roman" w:hAnsi="Times New Roman" w:cs="Times New Roman"/>
                <w:sz w:val="20"/>
                <w:szCs w:val="20"/>
              </w:rPr>
              <w:t>избрать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нижеследующи</w:t>
            </w:r>
            <w:r w:rsidRPr="00F430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членов Совета банка:</w:t>
            </w:r>
          </w:p>
          <w:p w:rsidR="001A092F" w:rsidRPr="00F43066" w:rsidRDefault="001A092F" w:rsidP="00DE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183DC9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-Каримов  Абдухафиз  Абдуганиевич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Министра Министерство финансов Республики Узбекистан;</w:t>
            </w:r>
            <w:r w:rsidR="00183DC9"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 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-Турмухамедов Алишер Улуғбекович 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юридической службы</w:t>
            </w:r>
            <w:r w:rsidR="00183DC9"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;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-Бобоев Адиз Музафарович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исполнительного директора Дирекции при фонде по развитию матерално-технической базы оброзовательных и медецинских учреждений при Министерстве Финансов Республики Узбекистан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;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-Шарипов Нажмиддин Шухратович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Ответственный сотрудник Министерство финансов Республики Узбекистан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; 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-Юнусов Джахонгир Баходирович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председателя Государственного Комитета Республики Узбекистан по содействию приватизированным предприятиям и развитию конкуренции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;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-Миралиев Алишер Эркинович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Вр.и.о. начальника Центра управления государственными активами Государственный Комитет Республики Узбекистан по содействию приватизированным предприятиям и развитию конкуренции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;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-Олимжонов Одил Олимович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 Институт прогнозирования и макроэкономических исследований при Кабинете Министров Республики Узбекистан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;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-Маликов Фаттоҳ Халилович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; 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-Ибрахимджанова Зумрад Аманбаевна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Фонда развития и реконструкции Республики Узбекистан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;</w:t>
            </w:r>
          </w:p>
          <w:p w:rsidR="001A092F" w:rsidRPr="00F43066" w:rsidRDefault="001A092F" w:rsidP="001A092F">
            <w:pPr>
              <w:pStyle w:val="a3"/>
              <w:ind w:left="1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-Хайтметов Рустам Махкамжонович -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бухгалтер Фонда развития и реконструкции Республики Узбекистан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;</w:t>
            </w:r>
          </w:p>
          <w:p w:rsidR="001A092F" w:rsidRPr="00F43066" w:rsidRDefault="001A092F" w:rsidP="00183DC9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-Норгитов Мухитдин Джурабаевич – </w:t>
            </w:r>
            <w:r w:rsidR="00183DC9"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юридической службы Фонда развития и реконструкции Республики Узбекистан</w:t>
            </w:r>
            <w:r w:rsidRPr="00F43066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.</w:t>
            </w:r>
          </w:p>
        </w:tc>
      </w:tr>
      <w:tr w:rsidR="002069C7" w:rsidRP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C7" w:rsidRDefault="002069C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C7" w:rsidRPr="00F43066" w:rsidRDefault="002069C7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C7" w:rsidRPr="00824CB4" w:rsidRDefault="002069C7" w:rsidP="002A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структуру акционерного коммерческого банка «Туронбанк» согласно приложени</w:t>
            </w:r>
            <w:r w:rsidR="002A30E9"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2069C7" w:rsidRP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C7" w:rsidRDefault="002069C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C7" w:rsidRPr="00F43066" w:rsidRDefault="002069C7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5. 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C7" w:rsidRPr="00824CB4" w:rsidRDefault="00B42DAE" w:rsidP="00B42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Разрешить</w:t>
            </w:r>
            <w:r w:rsidR="002069C7"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заключение крупной сделки с экспортно-импортным банком Китая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привлечение кредитной линии в размере 58,5 млн.долларов США</w:t>
            </w:r>
            <w:r w:rsidR="002069C7"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B42DAE" w:rsidRP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AE" w:rsidRDefault="00B42DAE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AE" w:rsidRPr="00F43066" w:rsidRDefault="00B42DAE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AE" w:rsidRPr="00824CB4" w:rsidRDefault="00B42DAE" w:rsidP="00B42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Разрешить заключение крупной сделки с АК «Узбекгидроэнерго» на выдачу кредита в размере 58,5 млн.долларов США.</w:t>
            </w:r>
          </w:p>
        </w:tc>
      </w:tr>
      <w:tr w:rsidR="00B42DAE" w:rsidRP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AE" w:rsidRDefault="00B42DAE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AE" w:rsidRPr="00F43066" w:rsidRDefault="00B42DAE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6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AE" w:rsidRPr="00824CB4" w:rsidRDefault="00E94FBD" w:rsidP="00E94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Перевести денежние средства в размере 11 851 244 728,42 (одиннадцать миллиардов восемьсот пятьдесят один миллион двести сорок четыре тысячи семьсот двадцать восемь сум сорок два тийин) сум находящийся на специальном счёту Фонда льготного кредитовани</w:t>
            </w:r>
            <w:r w:rsidR="002A30E9"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я сформированного с чистой прибыли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прошедших лет АКБ “Туронбанка” на счёт резерва общего назначения, а так же в целях правильного введения баланса банка, перевести на счёт 31206</w:t>
            </w:r>
            <w:proofErr w:type="gramEnd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полученную и переведённую на специальный счёт Фонда льготного кредитования сумму перечисленные от чистой прибыли банка полученные по итогам 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первого и второго квартала 2017 года в размере 1 063 847 249,55 (один миллиард шестьдесят три миллиона восемьсот сорок семь тысяч двести сорок девять </w:t>
            </w:r>
            <w:proofErr w:type="spellStart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55 </w:t>
            </w:r>
            <w:proofErr w:type="spellStart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тийин</w:t>
            </w:r>
            <w:proofErr w:type="spellEnd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</w:t>
            </w:r>
            <w:proofErr w:type="spellStart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 </w:t>
            </w: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23942" w:rsidTr="00525561">
        <w:trPr>
          <w:trHeight w:val="3128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42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09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1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Период, за который начислены средства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Документ, </w:t>
            </w:r>
          </w:p>
          <w:p w:rsidR="00623942" w:rsidRPr="00F43066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 котором предусмотрена выплата </w:t>
            </w: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2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A092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2F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тип 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2F" w:rsidRPr="00F43066" w:rsidRDefault="001A092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1AAD" w:rsidTr="00E01758">
        <w:trPr>
          <w:trHeight w:val="725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AD" w:rsidRDefault="00F81AA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AD" w:rsidRPr="00F43066" w:rsidRDefault="00F81AAD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AD" w:rsidRPr="00F43066" w:rsidRDefault="00F81AAD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Каримов  Абдухафиз  Абдуганиевич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AD" w:rsidRPr="00F43066" w:rsidRDefault="00F81AAD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Министра финансов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AD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AD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AD" w:rsidRPr="00F43066" w:rsidRDefault="00F81AAD" w:rsidP="00FF3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84 529 404</w:t>
            </w:r>
          </w:p>
        </w:tc>
      </w:tr>
      <w:tr w:rsidR="00924F3F" w:rsidTr="00E01758">
        <w:trPr>
          <w:trHeight w:val="725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BB3E8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Турмухамедов Алишер Улуғбекович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юридической службы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82 000 000</w:t>
            </w:r>
          </w:p>
        </w:tc>
      </w:tr>
      <w:tr w:rsidR="00924F3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BB3E8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Камалов Аюбхон Арибджанович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начальника Управления Ценных бумаг и финансового рынка Министерства Финансов Республики Узбекистан- Начальник отдела по контролю государственной доли в Коммерческих банках и координации лизинговой деятельности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4F3F" w:rsidTr="00FF051F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BB3E8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Бобоев Адиз Музафарович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исполнительного директора исполнительной дирекции при фонде по развитию матерално-технической базы оброзовательных и медецинских учреждений при Министерстве Финансов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82 000 000</w:t>
            </w:r>
          </w:p>
        </w:tc>
      </w:tr>
      <w:tr w:rsidR="00924F3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BB3E8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Қўйланов Зафаржон Мамараимович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Исполнительный директор целевого книжного фонда при Министерстве Финансов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4F3F" w:rsidTr="00E6432B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BB3E8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Ходжаев Саидкамол 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Саидкаримович</w:t>
            </w:r>
          </w:p>
        </w:tc>
        <w:tc>
          <w:tcPr>
            <w:tcW w:w="1606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Заместитель Председателя 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Правления центрального банка Республики Узбекистан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-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43066" w:rsidTr="00277962">
        <w:trPr>
          <w:trHeight w:val="475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66" w:rsidRDefault="00F43066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3066" w:rsidRPr="00F43066" w:rsidRDefault="00F43066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066" w:rsidRPr="00F43066" w:rsidRDefault="00F43066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06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066" w:rsidRPr="00F43066" w:rsidRDefault="00F43066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066" w:rsidRPr="00F43066" w:rsidRDefault="00F43066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066" w:rsidRPr="00F43066" w:rsidRDefault="00F43066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066" w:rsidRPr="00F43066" w:rsidRDefault="00F43066" w:rsidP="00FF3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924F3F" w:rsidTr="00826EA3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специалист Кабинета Министров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58 484 412</w:t>
            </w:r>
          </w:p>
        </w:tc>
      </w:tr>
      <w:tr w:rsidR="00924F3F" w:rsidTr="004F3A1C">
        <w:trPr>
          <w:trHeight w:val="1380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D1171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председателя Государственного Комитета 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58 484 412</w:t>
            </w:r>
          </w:p>
        </w:tc>
      </w:tr>
      <w:tr w:rsidR="00924F3F" w:rsidTr="00C11469">
        <w:trPr>
          <w:trHeight w:val="1865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Вр.и.о. начальника Центра управления государственными активами при Государственном Комитете 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58 484 412</w:t>
            </w:r>
          </w:p>
        </w:tc>
      </w:tr>
      <w:tr w:rsidR="00924F3F" w:rsidTr="005038D0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924F3F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Институт прогнозирования и макроэкономических исследований при Кабинете Министров Республики Узбекистан,  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1095</w:t>
            </w:r>
          </w:p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7644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простые</w:t>
            </w:r>
          </w:p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превилегированные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78 118 368</w:t>
            </w:r>
          </w:p>
        </w:tc>
      </w:tr>
      <w:tr w:rsidR="00924F3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36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="00924F3F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превилегированные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79 695 716</w:t>
            </w:r>
          </w:p>
        </w:tc>
      </w:tr>
      <w:tr w:rsidR="00924F3F" w:rsidTr="004443D4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36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924F3F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Махмудов Фозил Ходжаназарович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Председателя Правления АО «Узбек</w:t>
            </w:r>
            <w:proofErr w:type="spellStart"/>
            <w:r w:rsidRPr="00F43066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энерго»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4F3F" w:rsidTr="0078520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36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Ибрахимджанова Зумрад Аманбаевна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Фонда развития и реконструкции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96 000 000</w:t>
            </w:r>
          </w:p>
        </w:tc>
      </w:tr>
      <w:tr w:rsidR="00924F3F" w:rsidTr="00F9109C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36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Хайтметов Рустам Махкамжонович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бухгалтер Фонда развития и реконструкции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96 980 966</w:t>
            </w:r>
          </w:p>
        </w:tc>
      </w:tr>
      <w:tr w:rsidR="00924F3F" w:rsidTr="00962862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36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Норгитов Мухитдин Джурабаевич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юридической службы Фонда развития и реконструкции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96 000 000</w:t>
            </w:r>
          </w:p>
        </w:tc>
      </w:tr>
      <w:tr w:rsidR="00924F3F" w:rsidTr="0072298D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D1171B" w:rsidP="0036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Юсупов Олим Анварович</w:t>
            </w:r>
          </w:p>
        </w:tc>
        <w:tc>
          <w:tcPr>
            <w:tcW w:w="1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начальника управления Фонда развития и реконструкции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3F" w:rsidRPr="00F43066" w:rsidRDefault="00924F3F" w:rsidP="00FF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24F3F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3F" w:rsidRPr="00F43066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924F3F" w:rsidRPr="00F43066" w:rsidRDefault="00924F3F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72F22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Default="00D72F22" w:rsidP="0009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3F88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093F88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093F88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2F22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Атамухамедова Умида Файзуллаевна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C22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7C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3"/>
  </w:num>
  <w:num w:numId="1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30BE6"/>
    <w:rsid w:val="00032D3A"/>
    <w:rsid w:val="00036F59"/>
    <w:rsid w:val="00050325"/>
    <w:rsid w:val="000522EF"/>
    <w:rsid w:val="000543EA"/>
    <w:rsid w:val="00074DAB"/>
    <w:rsid w:val="00075B5A"/>
    <w:rsid w:val="00091F51"/>
    <w:rsid w:val="00093DF6"/>
    <w:rsid w:val="00093F88"/>
    <w:rsid w:val="00096405"/>
    <w:rsid w:val="000A3700"/>
    <w:rsid w:val="000A6F77"/>
    <w:rsid w:val="000C12B8"/>
    <w:rsid w:val="000D170A"/>
    <w:rsid w:val="000E0D96"/>
    <w:rsid w:val="000F2C30"/>
    <w:rsid w:val="00100AE9"/>
    <w:rsid w:val="0010112D"/>
    <w:rsid w:val="00116191"/>
    <w:rsid w:val="001420B5"/>
    <w:rsid w:val="00143084"/>
    <w:rsid w:val="00143548"/>
    <w:rsid w:val="00173E8F"/>
    <w:rsid w:val="00181A37"/>
    <w:rsid w:val="00182E79"/>
    <w:rsid w:val="00183DC9"/>
    <w:rsid w:val="001A08F5"/>
    <w:rsid w:val="001A092F"/>
    <w:rsid w:val="001A5A13"/>
    <w:rsid w:val="001C6021"/>
    <w:rsid w:val="001E3943"/>
    <w:rsid w:val="002069C7"/>
    <w:rsid w:val="00230E6E"/>
    <w:rsid w:val="002358FF"/>
    <w:rsid w:val="00284979"/>
    <w:rsid w:val="00287165"/>
    <w:rsid w:val="002A30E9"/>
    <w:rsid w:val="002B07B0"/>
    <w:rsid w:val="002B1FD9"/>
    <w:rsid w:val="002B34EC"/>
    <w:rsid w:val="002E70A0"/>
    <w:rsid w:val="002F665D"/>
    <w:rsid w:val="00306632"/>
    <w:rsid w:val="00332539"/>
    <w:rsid w:val="0036223B"/>
    <w:rsid w:val="00386D42"/>
    <w:rsid w:val="003C12CE"/>
    <w:rsid w:val="003C4A7C"/>
    <w:rsid w:val="003E38A9"/>
    <w:rsid w:val="003E7FC5"/>
    <w:rsid w:val="00411AE3"/>
    <w:rsid w:val="00456120"/>
    <w:rsid w:val="004B385E"/>
    <w:rsid w:val="004C53A8"/>
    <w:rsid w:val="004F730B"/>
    <w:rsid w:val="00502444"/>
    <w:rsid w:val="00505C9C"/>
    <w:rsid w:val="00527059"/>
    <w:rsid w:val="00576EB5"/>
    <w:rsid w:val="005825EE"/>
    <w:rsid w:val="00623942"/>
    <w:rsid w:val="00625F3F"/>
    <w:rsid w:val="00666795"/>
    <w:rsid w:val="00686E96"/>
    <w:rsid w:val="006941AE"/>
    <w:rsid w:val="00714ED1"/>
    <w:rsid w:val="007206CC"/>
    <w:rsid w:val="007557D3"/>
    <w:rsid w:val="0077485D"/>
    <w:rsid w:val="00775C16"/>
    <w:rsid w:val="007B2B73"/>
    <w:rsid w:val="007B545D"/>
    <w:rsid w:val="007D49A3"/>
    <w:rsid w:val="00800851"/>
    <w:rsid w:val="00824CB4"/>
    <w:rsid w:val="008342B1"/>
    <w:rsid w:val="00842E7E"/>
    <w:rsid w:val="00871323"/>
    <w:rsid w:val="008C0CCC"/>
    <w:rsid w:val="008D20CE"/>
    <w:rsid w:val="008F292A"/>
    <w:rsid w:val="008F3820"/>
    <w:rsid w:val="00924F3F"/>
    <w:rsid w:val="009329C4"/>
    <w:rsid w:val="00937A76"/>
    <w:rsid w:val="009660E3"/>
    <w:rsid w:val="0097048E"/>
    <w:rsid w:val="00980A5E"/>
    <w:rsid w:val="009C2B78"/>
    <w:rsid w:val="009F46C5"/>
    <w:rsid w:val="00A22F75"/>
    <w:rsid w:val="00A476D9"/>
    <w:rsid w:val="00A51ED5"/>
    <w:rsid w:val="00A53A93"/>
    <w:rsid w:val="00A57CA9"/>
    <w:rsid w:val="00A967A6"/>
    <w:rsid w:val="00AE65AF"/>
    <w:rsid w:val="00B15F56"/>
    <w:rsid w:val="00B42DAE"/>
    <w:rsid w:val="00B555DE"/>
    <w:rsid w:val="00B73E95"/>
    <w:rsid w:val="00B84B98"/>
    <w:rsid w:val="00BA4DFF"/>
    <w:rsid w:val="00BA6A4C"/>
    <w:rsid w:val="00BB3E8B"/>
    <w:rsid w:val="00BD1A49"/>
    <w:rsid w:val="00BE7096"/>
    <w:rsid w:val="00C866E8"/>
    <w:rsid w:val="00C91EF6"/>
    <w:rsid w:val="00D0320C"/>
    <w:rsid w:val="00D1171B"/>
    <w:rsid w:val="00D3008E"/>
    <w:rsid w:val="00D43061"/>
    <w:rsid w:val="00D629E7"/>
    <w:rsid w:val="00D65384"/>
    <w:rsid w:val="00D704D8"/>
    <w:rsid w:val="00D72F22"/>
    <w:rsid w:val="00D90228"/>
    <w:rsid w:val="00DB007C"/>
    <w:rsid w:val="00DB30FD"/>
    <w:rsid w:val="00DB45E7"/>
    <w:rsid w:val="00DC18E6"/>
    <w:rsid w:val="00DE78B9"/>
    <w:rsid w:val="00DF192A"/>
    <w:rsid w:val="00DF50E2"/>
    <w:rsid w:val="00E01758"/>
    <w:rsid w:val="00E05B7E"/>
    <w:rsid w:val="00E1457C"/>
    <w:rsid w:val="00E42B79"/>
    <w:rsid w:val="00E57F26"/>
    <w:rsid w:val="00E7770D"/>
    <w:rsid w:val="00E84D79"/>
    <w:rsid w:val="00E8677F"/>
    <w:rsid w:val="00E86F88"/>
    <w:rsid w:val="00E94B6D"/>
    <w:rsid w:val="00E94FBD"/>
    <w:rsid w:val="00E967BB"/>
    <w:rsid w:val="00EA0189"/>
    <w:rsid w:val="00EB07B1"/>
    <w:rsid w:val="00F07D6F"/>
    <w:rsid w:val="00F1441E"/>
    <w:rsid w:val="00F3466A"/>
    <w:rsid w:val="00F43066"/>
    <w:rsid w:val="00F607F7"/>
    <w:rsid w:val="00F71B24"/>
    <w:rsid w:val="00F81AAD"/>
    <w:rsid w:val="00F959FD"/>
    <w:rsid w:val="00FB51C9"/>
    <w:rsid w:val="00FB71B8"/>
    <w:rsid w:val="00FC31EF"/>
    <w:rsid w:val="00FF3EF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1EA4-34AF-4EE0-8A40-0BF2840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150</cp:revision>
  <dcterms:created xsi:type="dcterms:W3CDTF">2017-05-30T06:04:00Z</dcterms:created>
  <dcterms:modified xsi:type="dcterms:W3CDTF">2017-10-19T08:48:00Z</dcterms:modified>
</cp:coreProperties>
</file>